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7" w:type="dxa"/>
        <w:tblBorders>
          <w:top w:val="single" w:sz="6" w:space="0" w:color="808080"/>
          <w:bottom w:val="single" w:sz="6" w:space="0" w:color="808080"/>
        </w:tblBorders>
        <w:tblCellMar>
          <w:top w:w="57" w:type="dxa"/>
          <w:left w:w="85" w:type="dxa"/>
          <w:bottom w:w="57" w:type="dxa"/>
          <w:right w:w="0" w:type="dxa"/>
        </w:tblCellMar>
        <w:tblLook w:val="04A0" w:firstRow="1" w:lastRow="0" w:firstColumn="1" w:lastColumn="0" w:noHBand="0" w:noVBand="1"/>
      </w:tblPr>
      <w:tblGrid>
        <w:gridCol w:w="2070"/>
        <w:gridCol w:w="7087"/>
      </w:tblGrid>
      <w:tr w:rsidR="00C03407" w:rsidRPr="008862EA" w14:paraId="25891B64" w14:textId="77777777" w:rsidTr="00272998">
        <w:tc>
          <w:tcPr>
            <w:tcW w:w="2070" w:type="dxa"/>
            <w:tcBorders>
              <w:top w:val="single" w:sz="6" w:space="0" w:color="808080"/>
              <w:left w:val="nil"/>
              <w:bottom w:val="single" w:sz="6" w:space="0" w:color="808080"/>
              <w:right w:val="nil"/>
            </w:tcBorders>
            <w:shd w:val="clear" w:color="auto" w:fill="FFFFFF"/>
          </w:tcPr>
          <w:p w14:paraId="666AF830" w14:textId="77777777" w:rsidR="00C03407" w:rsidRPr="008862EA" w:rsidRDefault="00C03407" w:rsidP="008862EA">
            <w:pPr>
              <w:tabs>
                <w:tab w:val="left" w:pos="567"/>
              </w:tabs>
              <w:spacing w:line="360" w:lineRule="auto"/>
              <w:rPr>
                <w:rFonts w:ascii="Verdana" w:hAnsi="Verdana"/>
                <w:b/>
                <w:sz w:val="20"/>
                <w:szCs w:val="20"/>
                <w:lang w:bidi="ar-SA"/>
              </w:rPr>
            </w:pPr>
          </w:p>
          <w:p w14:paraId="30C043A6" w14:textId="01C61A96" w:rsidR="00C03407" w:rsidRPr="008862EA" w:rsidRDefault="0018357F" w:rsidP="008862EA">
            <w:pPr>
              <w:tabs>
                <w:tab w:val="left" w:pos="567"/>
              </w:tabs>
              <w:spacing w:line="360" w:lineRule="auto"/>
              <w:rPr>
                <w:rFonts w:ascii="Verdana" w:hAnsi="Verdana"/>
                <w:b/>
                <w:sz w:val="20"/>
                <w:szCs w:val="20"/>
                <w:lang w:bidi="ar-SA"/>
              </w:rPr>
            </w:pPr>
            <w:r>
              <w:rPr>
                <w:rFonts w:ascii="Verdana" w:hAnsi="Verdana"/>
                <w:noProof/>
                <w:sz w:val="20"/>
                <w:szCs w:val="20"/>
                <w:lang w:eastAsia="en-NZ" w:bidi="ar-SA"/>
              </w:rPr>
              <w:drawing>
                <wp:inline distT="0" distB="0" distL="0" distR="0" wp14:anchorId="26276CE8" wp14:editId="5E9E80F5">
                  <wp:extent cx="990600" cy="952500"/>
                  <wp:effectExtent l="0" t="0" r="0" b="0"/>
                  <wp:docPr id="1" name="Picture 1" descr="Description: Description: Description: C:\Users\amessent\AppData\Local\Microsoft\Windows\Temporary Internet Files\Content.Outlook\MN1HAVZZ\Brand NZ-no agency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messent\AppData\Local\Microsoft\Windows\Temporary Internet Files\Content.Outlook\MN1HAVZZ\Brand NZ-no agency High R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7087" w:type="dxa"/>
            <w:tcBorders>
              <w:top w:val="single" w:sz="6" w:space="0" w:color="808080"/>
              <w:left w:val="nil"/>
              <w:bottom w:val="single" w:sz="6" w:space="0" w:color="808080"/>
              <w:right w:val="nil"/>
            </w:tcBorders>
            <w:shd w:val="clear" w:color="auto" w:fill="FFFFFF"/>
          </w:tcPr>
          <w:p w14:paraId="2E17A4BD" w14:textId="77777777" w:rsidR="00C03407" w:rsidRPr="008862EA" w:rsidRDefault="00C03407" w:rsidP="008862EA">
            <w:pPr>
              <w:tabs>
                <w:tab w:val="left" w:pos="567"/>
              </w:tabs>
              <w:spacing w:line="360" w:lineRule="auto"/>
              <w:rPr>
                <w:rFonts w:ascii="Verdana" w:hAnsi="Verdana"/>
                <w:b/>
                <w:sz w:val="20"/>
                <w:szCs w:val="20"/>
                <w:lang w:bidi="ar-SA"/>
              </w:rPr>
            </w:pPr>
          </w:p>
          <w:p w14:paraId="5C17C3B8" w14:textId="77777777" w:rsidR="00C03407" w:rsidRPr="008862EA" w:rsidRDefault="00C03407" w:rsidP="008862EA">
            <w:pPr>
              <w:tabs>
                <w:tab w:val="left" w:pos="567"/>
              </w:tabs>
              <w:spacing w:line="360" w:lineRule="auto"/>
              <w:rPr>
                <w:rFonts w:ascii="Verdana" w:hAnsi="Verdana"/>
                <w:b/>
                <w:i/>
                <w:sz w:val="20"/>
                <w:szCs w:val="20"/>
                <w:lang w:bidi="ar-SA"/>
              </w:rPr>
            </w:pPr>
          </w:p>
          <w:p w14:paraId="16BC5A9D" w14:textId="77777777" w:rsidR="00183A01" w:rsidRPr="008862EA" w:rsidRDefault="00C03407" w:rsidP="008862EA">
            <w:pPr>
              <w:tabs>
                <w:tab w:val="left" w:pos="567"/>
              </w:tabs>
              <w:spacing w:line="360" w:lineRule="auto"/>
              <w:jc w:val="right"/>
              <w:rPr>
                <w:rFonts w:ascii="Verdana" w:hAnsi="Verdana"/>
                <w:b/>
                <w:sz w:val="20"/>
                <w:szCs w:val="20"/>
                <w:lang w:bidi="ar-SA"/>
              </w:rPr>
            </w:pPr>
            <w:r w:rsidRPr="008862EA">
              <w:rPr>
                <w:rFonts w:ascii="Verdana" w:hAnsi="Verdana"/>
                <w:b/>
                <w:sz w:val="20"/>
                <w:szCs w:val="20"/>
                <w:lang w:bidi="ar-SA"/>
              </w:rPr>
              <w:t>Human Rights Council</w:t>
            </w:r>
            <w:r w:rsidR="00183A01" w:rsidRPr="008862EA">
              <w:rPr>
                <w:rFonts w:ascii="Verdana" w:hAnsi="Verdana"/>
                <w:b/>
                <w:sz w:val="20"/>
                <w:szCs w:val="20"/>
                <w:lang w:bidi="ar-SA"/>
              </w:rPr>
              <w:t xml:space="preserve"> </w:t>
            </w:r>
          </w:p>
          <w:p w14:paraId="52ECFAAC" w14:textId="3612E926" w:rsidR="00C03407" w:rsidRPr="008862EA" w:rsidRDefault="00183A01" w:rsidP="008862EA">
            <w:pPr>
              <w:tabs>
                <w:tab w:val="left" w:pos="567"/>
              </w:tabs>
              <w:spacing w:line="360" w:lineRule="auto"/>
              <w:jc w:val="right"/>
              <w:rPr>
                <w:rFonts w:ascii="Verdana" w:hAnsi="Verdana"/>
                <w:b/>
                <w:sz w:val="20"/>
                <w:szCs w:val="20"/>
                <w:lang w:bidi="ar-SA"/>
              </w:rPr>
            </w:pPr>
            <w:r w:rsidRPr="008862EA">
              <w:rPr>
                <w:rFonts w:ascii="Verdana" w:hAnsi="Verdana"/>
                <w:b/>
                <w:sz w:val="20"/>
                <w:szCs w:val="20"/>
                <w:lang w:bidi="ar-SA"/>
              </w:rPr>
              <w:t>22</w:t>
            </w:r>
            <w:r w:rsidRPr="008862EA">
              <w:rPr>
                <w:rFonts w:ascii="Verdana" w:hAnsi="Verdana"/>
                <w:b/>
                <w:sz w:val="20"/>
                <w:szCs w:val="20"/>
                <w:vertAlign w:val="superscript"/>
                <w:lang w:bidi="ar-SA"/>
              </w:rPr>
              <w:t>nd</w:t>
            </w:r>
            <w:r w:rsidRPr="008862EA">
              <w:rPr>
                <w:rFonts w:ascii="Verdana" w:hAnsi="Verdana"/>
                <w:b/>
                <w:sz w:val="20"/>
                <w:szCs w:val="20"/>
                <w:lang w:bidi="ar-SA"/>
              </w:rPr>
              <w:t xml:space="preserve"> session of the Universal Periodic Review</w:t>
            </w:r>
            <w:r w:rsidR="00272998" w:rsidRPr="008862EA">
              <w:rPr>
                <w:rFonts w:ascii="Verdana" w:hAnsi="Verdana"/>
                <w:b/>
                <w:sz w:val="20"/>
                <w:szCs w:val="20"/>
                <w:lang w:bidi="ar-SA"/>
              </w:rPr>
              <w:t xml:space="preserve"> Working Group </w:t>
            </w:r>
          </w:p>
          <w:p w14:paraId="685976D1" w14:textId="5282689E" w:rsidR="00C03407" w:rsidRPr="008862EA" w:rsidRDefault="005C6434" w:rsidP="008862EA">
            <w:pPr>
              <w:tabs>
                <w:tab w:val="left" w:pos="567"/>
              </w:tabs>
              <w:spacing w:line="360" w:lineRule="auto"/>
              <w:jc w:val="right"/>
              <w:rPr>
                <w:rFonts w:ascii="Verdana" w:hAnsi="Verdana"/>
                <w:b/>
                <w:sz w:val="20"/>
                <w:szCs w:val="20"/>
                <w:lang w:bidi="ar-SA"/>
              </w:rPr>
            </w:pPr>
            <w:r w:rsidRPr="008862EA">
              <w:rPr>
                <w:rFonts w:ascii="Verdana" w:hAnsi="Verdana"/>
                <w:b/>
                <w:sz w:val="20"/>
                <w:szCs w:val="20"/>
                <w:lang w:bidi="ar-SA"/>
              </w:rPr>
              <w:t>Libya</w:t>
            </w:r>
          </w:p>
          <w:p w14:paraId="4B302410" w14:textId="6580059E" w:rsidR="00C03407" w:rsidRPr="008862EA" w:rsidRDefault="00C03407" w:rsidP="008862EA">
            <w:pPr>
              <w:tabs>
                <w:tab w:val="left" w:pos="567"/>
              </w:tabs>
              <w:spacing w:line="360" w:lineRule="auto"/>
              <w:jc w:val="right"/>
              <w:rPr>
                <w:rFonts w:ascii="Verdana" w:hAnsi="Verdana"/>
                <w:b/>
                <w:sz w:val="20"/>
                <w:szCs w:val="20"/>
                <w:lang w:bidi="ar-SA"/>
              </w:rPr>
            </w:pPr>
            <w:r w:rsidRPr="008862EA">
              <w:rPr>
                <w:rFonts w:ascii="Verdana" w:hAnsi="Verdana"/>
                <w:b/>
                <w:sz w:val="20"/>
                <w:szCs w:val="20"/>
                <w:lang w:bidi="ar-SA"/>
              </w:rPr>
              <w:t xml:space="preserve">Delivered by </w:t>
            </w:r>
            <w:r w:rsidR="0018357F">
              <w:rPr>
                <w:rFonts w:ascii="Verdana" w:hAnsi="Verdana"/>
                <w:b/>
                <w:sz w:val="20"/>
                <w:szCs w:val="20"/>
                <w:lang w:bidi="ar-SA"/>
              </w:rPr>
              <w:t xml:space="preserve">First Secretary Jarrod </w:t>
            </w:r>
            <w:proofErr w:type="spellStart"/>
            <w:r w:rsidR="0018357F">
              <w:rPr>
                <w:rFonts w:ascii="Verdana" w:hAnsi="Verdana"/>
                <w:b/>
                <w:sz w:val="20"/>
                <w:szCs w:val="20"/>
                <w:lang w:bidi="ar-SA"/>
              </w:rPr>
              <w:t>Clyne</w:t>
            </w:r>
            <w:proofErr w:type="spellEnd"/>
          </w:p>
          <w:p w14:paraId="10E4687C" w14:textId="37BEA584" w:rsidR="00C03407" w:rsidRPr="008862EA" w:rsidRDefault="005C6434" w:rsidP="008862EA">
            <w:pPr>
              <w:tabs>
                <w:tab w:val="left" w:pos="567"/>
              </w:tabs>
              <w:spacing w:line="360" w:lineRule="auto"/>
              <w:jc w:val="right"/>
              <w:rPr>
                <w:rFonts w:ascii="Verdana" w:hAnsi="Verdana"/>
                <w:b/>
                <w:sz w:val="20"/>
                <w:szCs w:val="20"/>
                <w:lang w:bidi="ar-SA"/>
              </w:rPr>
            </w:pPr>
            <w:r w:rsidRPr="008862EA">
              <w:rPr>
                <w:rFonts w:ascii="Verdana" w:hAnsi="Verdana"/>
                <w:b/>
                <w:sz w:val="20"/>
                <w:szCs w:val="20"/>
                <w:lang w:bidi="ar-SA"/>
              </w:rPr>
              <w:t>13</w:t>
            </w:r>
            <w:r w:rsidR="00272998" w:rsidRPr="008862EA">
              <w:rPr>
                <w:rFonts w:ascii="Verdana" w:hAnsi="Verdana"/>
                <w:b/>
                <w:sz w:val="20"/>
                <w:szCs w:val="20"/>
                <w:lang w:bidi="ar-SA"/>
              </w:rPr>
              <w:t xml:space="preserve"> </w:t>
            </w:r>
            <w:r w:rsidR="00C03407" w:rsidRPr="008862EA">
              <w:rPr>
                <w:rFonts w:ascii="Verdana" w:hAnsi="Verdana"/>
                <w:b/>
                <w:sz w:val="20"/>
                <w:szCs w:val="20"/>
                <w:lang w:bidi="ar-SA"/>
              </w:rPr>
              <w:t>May 2015</w:t>
            </w:r>
          </w:p>
        </w:tc>
      </w:tr>
    </w:tbl>
    <w:p w14:paraId="17EC839A" w14:textId="77777777" w:rsidR="00C03407" w:rsidRPr="008862EA" w:rsidRDefault="00C03407" w:rsidP="008862EA">
      <w:pPr>
        <w:tabs>
          <w:tab w:val="left" w:pos="567"/>
        </w:tabs>
        <w:spacing w:line="360" w:lineRule="auto"/>
        <w:jc w:val="left"/>
        <w:rPr>
          <w:rFonts w:ascii="Verdana" w:hAnsi="Verdana"/>
          <w:sz w:val="20"/>
          <w:szCs w:val="20"/>
          <w:lang w:bidi="ar-SA"/>
        </w:rPr>
      </w:pPr>
    </w:p>
    <w:p w14:paraId="621AC3C3" w14:textId="77777777" w:rsidR="00BB61B8" w:rsidRPr="008862EA" w:rsidRDefault="00BB61B8" w:rsidP="008862EA">
      <w:pPr>
        <w:tabs>
          <w:tab w:val="left" w:pos="567"/>
        </w:tabs>
        <w:spacing w:line="360" w:lineRule="auto"/>
        <w:jc w:val="left"/>
        <w:rPr>
          <w:rFonts w:ascii="Verdana" w:hAnsi="Verdana"/>
          <w:sz w:val="20"/>
          <w:szCs w:val="20"/>
          <w:lang w:bidi="ar-SA"/>
        </w:rPr>
      </w:pPr>
    </w:p>
    <w:p w14:paraId="67816E3B" w14:textId="77777777" w:rsidR="00FA0337" w:rsidRPr="00D371C8" w:rsidRDefault="00FA0337" w:rsidP="008862EA">
      <w:pPr>
        <w:tabs>
          <w:tab w:val="left" w:pos="567"/>
        </w:tabs>
        <w:spacing w:line="360" w:lineRule="auto"/>
        <w:jc w:val="left"/>
        <w:rPr>
          <w:rFonts w:ascii="Verdana" w:hAnsi="Verdana"/>
          <w:sz w:val="20"/>
          <w:szCs w:val="20"/>
          <w:lang w:bidi="ar-SA"/>
        </w:rPr>
      </w:pPr>
      <w:r w:rsidRPr="00D371C8">
        <w:rPr>
          <w:rFonts w:ascii="Verdana" w:hAnsi="Verdana"/>
          <w:sz w:val="20"/>
          <w:szCs w:val="20"/>
          <w:lang w:bidi="ar-SA"/>
        </w:rPr>
        <w:t xml:space="preserve">Mr President, </w:t>
      </w:r>
    </w:p>
    <w:p w14:paraId="6B6EAB9E" w14:textId="77777777" w:rsidR="00FA0337" w:rsidRPr="00D371C8" w:rsidRDefault="00FA0337" w:rsidP="008862EA">
      <w:pPr>
        <w:tabs>
          <w:tab w:val="left" w:pos="567"/>
        </w:tabs>
        <w:spacing w:line="360" w:lineRule="auto"/>
        <w:jc w:val="left"/>
        <w:rPr>
          <w:rFonts w:ascii="Verdana" w:hAnsi="Verdana"/>
          <w:sz w:val="20"/>
          <w:szCs w:val="20"/>
          <w:lang w:bidi="ar-SA"/>
        </w:rPr>
      </w:pPr>
    </w:p>
    <w:p w14:paraId="68C5C744" w14:textId="3CA9A653" w:rsidR="008862EA" w:rsidRPr="00D371C8" w:rsidRDefault="00FA0337" w:rsidP="0093282B">
      <w:pPr>
        <w:tabs>
          <w:tab w:val="left" w:pos="567"/>
        </w:tabs>
        <w:spacing w:line="360" w:lineRule="auto"/>
        <w:rPr>
          <w:rFonts w:ascii="Verdana" w:hAnsi="Verdana"/>
          <w:sz w:val="20"/>
          <w:szCs w:val="20"/>
          <w:lang w:bidi="ar-SA"/>
        </w:rPr>
      </w:pPr>
      <w:r w:rsidRPr="00D371C8">
        <w:rPr>
          <w:rFonts w:ascii="Verdana" w:hAnsi="Verdana"/>
          <w:sz w:val="20"/>
          <w:szCs w:val="20"/>
          <w:lang w:bidi="ar-SA"/>
        </w:rPr>
        <w:t xml:space="preserve">New Zealand </w:t>
      </w:r>
      <w:r w:rsidR="008862EA" w:rsidRPr="00D371C8">
        <w:rPr>
          <w:rFonts w:ascii="Verdana" w:hAnsi="Verdana"/>
          <w:bCs/>
          <w:sz w:val="20"/>
          <w:szCs w:val="20"/>
        </w:rPr>
        <w:t>recognises</w:t>
      </w:r>
      <w:r w:rsidR="008862EA" w:rsidRPr="00D371C8">
        <w:rPr>
          <w:rFonts w:ascii="Verdana" w:hAnsi="Verdana"/>
          <w:sz w:val="20"/>
          <w:szCs w:val="20"/>
        </w:rPr>
        <w:t xml:space="preserve"> that the complex and protracted situation in Libya poses significant challenges to the protection of human rights and the adoption of human rights reforms</w:t>
      </w:r>
      <w:r w:rsidR="00D371C8" w:rsidRPr="00D371C8">
        <w:rPr>
          <w:rFonts w:ascii="Verdana" w:hAnsi="Verdana"/>
          <w:sz w:val="20"/>
          <w:szCs w:val="20"/>
        </w:rPr>
        <w:t xml:space="preserve">, and </w:t>
      </w:r>
      <w:r w:rsidR="00D371C8" w:rsidRPr="00D371C8">
        <w:rPr>
          <w:rFonts w:ascii="Verdana" w:hAnsi="Verdana"/>
          <w:sz w:val="20"/>
          <w:szCs w:val="20"/>
          <w:lang w:bidi="ar-SA"/>
        </w:rPr>
        <w:t>welcomes the opportunity to engage with Libya in this forum.</w:t>
      </w:r>
    </w:p>
    <w:p w14:paraId="77338AB5" w14:textId="77777777" w:rsidR="00D371C8" w:rsidRPr="00D371C8" w:rsidRDefault="00D371C8" w:rsidP="0093282B">
      <w:pPr>
        <w:tabs>
          <w:tab w:val="left" w:pos="567"/>
        </w:tabs>
        <w:spacing w:line="360" w:lineRule="auto"/>
        <w:rPr>
          <w:rFonts w:ascii="Verdana" w:hAnsi="Verdana"/>
          <w:sz w:val="20"/>
          <w:szCs w:val="20"/>
          <w:lang w:bidi="ar-SA"/>
        </w:rPr>
      </w:pPr>
    </w:p>
    <w:p w14:paraId="054878D2" w14:textId="6C5D27C1" w:rsidR="00D371C8" w:rsidRPr="00D371C8" w:rsidRDefault="00D371C8" w:rsidP="0093282B">
      <w:pPr>
        <w:pStyle w:val="ListParagraph"/>
        <w:spacing w:line="360" w:lineRule="auto"/>
        <w:ind w:left="0"/>
        <w:jc w:val="both"/>
        <w:rPr>
          <w:rFonts w:ascii="Verdana" w:hAnsi="Verdana"/>
          <w:sz w:val="20"/>
          <w:szCs w:val="20"/>
        </w:rPr>
      </w:pPr>
      <w:r w:rsidRPr="00D371C8">
        <w:rPr>
          <w:rFonts w:ascii="Verdana" w:hAnsi="Verdana"/>
          <w:bCs/>
          <w:sz w:val="20"/>
          <w:szCs w:val="20"/>
        </w:rPr>
        <w:t>In view of the critical situation, New Zealand</w:t>
      </w:r>
      <w:r w:rsidRPr="00D371C8">
        <w:rPr>
          <w:rFonts w:ascii="Verdana" w:hAnsi="Verdana"/>
          <w:sz w:val="20"/>
          <w:szCs w:val="20"/>
        </w:rPr>
        <w:t xml:space="preserve"> </w:t>
      </w:r>
      <w:r w:rsidRPr="00D371C8">
        <w:rPr>
          <w:rFonts w:ascii="Verdana" w:hAnsi="Verdana"/>
          <w:b/>
          <w:sz w:val="20"/>
          <w:szCs w:val="20"/>
        </w:rPr>
        <w:t>recommends</w:t>
      </w:r>
      <w:r w:rsidRPr="00D371C8">
        <w:rPr>
          <w:rFonts w:ascii="Verdana" w:hAnsi="Verdana"/>
          <w:sz w:val="20"/>
          <w:szCs w:val="20"/>
        </w:rPr>
        <w:t xml:space="preserve"> </w:t>
      </w:r>
      <w:r w:rsidRPr="00D371C8">
        <w:rPr>
          <w:rFonts w:ascii="Verdana" w:hAnsi="Verdana"/>
          <w:bCs/>
          <w:sz w:val="20"/>
          <w:szCs w:val="20"/>
        </w:rPr>
        <w:t xml:space="preserve">that Libya </w:t>
      </w:r>
      <w:r w:rsidRPr="00D371C8">
        <w:rPr>
          <w:rFonts w:ascii="Verdana" w:hAnsi="Verdana"/>
          <w:sz w:val="20"/>
          <w:szCs w:val="20"/>
        </w:rPr>
        <w:t xml:space="preserve">ratify and strictly implement the Arms Trade Treaty without delay, giving particular attention to implementing measures to prevent the diversion and illicit trafficking of all types of conventional arms, and effectively implementing Article 6 on Prohibitions and Article 7 </w:t>
      </w:r>
      <w:r>
        <w:rPr>
          <w:rFonts w:ascii="Verdana" w:hAnsi="Verdana"/>
          <w:sz w:val="20"/>
          <w:szCs w:val="20"/>
        </w:rPr>
        <w:t>on Export and Export Assessment.</w:t>
      </w:r>
      <w:r w:rsidRPr="00D371C8">
        <w:rPr>
          <w:rFonts w:ascii="Verdana" w:hAnsi="Verdana"/>
          <w:sz w:val="20"/>
          <w:szCs w:val="20"/>
        </w:rPr>
        <w:t xml:space="preserve"> </w:t>
      </w:r>
    </w:p>
    <w:p w14:paraId="484FCD21" w14:textId="77777777" w:rsidR="00D371C8" w:rsidRPr="00D371C8" w:rsidRDefault="00D371C8" w:rsidP="0093282B">
      <w:pPr>
        <w:pStyle w:val="ListParagraph"/>
        <w:spacing w:line="360" w:lineRule="auto"/>
        <w:ind w:left="0"/>
        <w:jc w:val="both"/>
        <w:rPr>
          <w:rFonts w:ascii="Verdana" w:hAnsi="Verdana"/>
          <w:b/>
          <w:bCs/>
          <w:sz w:val="20"/>
          <w:szCs w:val="20"/>
        </w:rPr>
      </w:pPr>
    </w:p>
    <w:p w14:paraId="387D57B6" w14:textId="79DA37FF" w:rsidR="00D371C8" w:rsidRPr="00D371C8" w:rsidRDefault="00D371C8" w:rsidP="0093282B">
      <w:pPr>
        <w:pStyle w:val="ListParagraph"/>
        <w:spacing w:line="360" w:lineRule="auto"/>
        <w:ind w:left="0"/>
        <w:jc w:val="both"/>
        <w:rPr>
          <w:rFonts w:ascii="Verdana" w:hAnsi="Verdana"/>
          <w:sz w:val="20"/>
          <w:szCs w:val="20"/>
        </w:rPr>
      </w:pPr>
      <w:r w:rsidRPr="00D371C8">
        <w:rPr>
          <w:rFonts w:ascii="Verdana" w:hAnsi="Verdana"/>
          <w:bCs/>
          <w:sz w:val="20"/>
          <w:szCs w:val="20"/>
        </w:rPr>
        <w:t>New Zealand furthermore</w:t>
      </w:r>
      <w:r w:rsidRPr="00D371C8">
        <w:rPr>
          <w:rFonts w:ascii="Verdana" w:hAnsi="Verdana"/>
          <w:b/>
          <w:bCs/>
          <w:sz w:val="20"/>
          <w:szCs w:val="20"/>
        </w:rPr>
        <w:t xml:space="preserve"> recommends </w:t>
      </w:r>
      <w:r w:rsidRPr="00D371C8">
        <w:rPr>
          <w:rFonts w:ascii="Verdana" w:hAnsi="Verdana"/>
          <w:bCs/>
          <w:sz w:val="20"/>
          <w:szCs w:val="20"/>
        </w:rPr>
        <w:t>that Libya</w:t>
      </w:r>
      <w:r w:rsidRPr="00D371C8">
        <w:rPr>
          <w:rFonts w:ascii="Verdana" w:hAnsi="Verdana"/>
          <w:b/>
          <w:bCs/>
          <w:sz w:val="20"/>
          <w:szCs w:val="20"/>
        </w:rPr>
        <w:t xml:space="preserve"> </w:t>
      </w:r>
      <w:r w:rsidRPr="00D371C8">
        <w:rPr>
          <w:rFonts w:ascii="Verdana" w:hAnsi="Verdana"/>
          <w:bCs/>
          <w:sz w:val="20"/>
          <w:szCs w:val="20"/>
        </w:rPr>
        <w:t>c</w:t>
      </w:r>
      <w:r w:rsidR="006334C2">
        <w:rPr>
          <w:rFonts w:ascii="Verdana" w:hAnsi="Verdana"/>
          <w:sz w:val="20"/>
          <w:szCs w:val="20"/>
        </w:rPr>
        <w:t xml:space="preserve">ondemn publicly, </w:t>
      </w:r>
      <w:r>
        <w:rPr>
          <w:rFonts w:ascii="Verdana" w:hAnsi="Verdana"/>
          <w:sz w:val="20"/>
          <w:szCs w:val="20"/>
        </w:rPr>
        <w:t>and take action to stop</w:t>
      </w:r>
      <w:r w:rsidR="006334C2">
        <w:rPr>
          <w:rFonts w:ascii="Verdana" w:hAnsi="Verdana"/>
          <w:sz w:val="20"/>
          <w:szCs w:val="20"/>
        </w:rPr>
        <w:t xml:space="preserve"> – including through full co-operation</w:t>
      </w:r>
      <w:r w:rsidR="006334C2" w:rsidRPr="00D371C8">
        <w:rPr>
          <w:rFonts w:ascii="Verdana" w:hAnsi="Verdana"/>
          <w:sz w:val="20"/>
          <w:szCs w:val="20"/>
        </w:rPr>
        <w:t xml:space="preserve"> with</w:t>
      </w:r>
      <w:r w:rsidR="006334C2">
        <w:rPr>
          <w:rFonts w:ascii="Verdana" w:hAnsi="Verdana"/>
          <w:sz w:val="20"/>
          <w:szCs w:val="20"/>
        </w:rPr>
        <w:t xml:space="preserve"> UN and regionally-mandated</w:t>
      </w:r>
      <w:r w:rsidR="006334C2" w:rsidRPr="00D371C8">
        <w:rPr>
          <w:rFonts w:ascii="Verdana" w:hAnsi="Verdana"/>
          <w:sz w:val="20"/>
          <w:szCs w:val="20"/>
        </w:rPr>
        <w:t xml:space="preserve"> investigations</w:t>
      </w:r>
      <w:r w:rsidR="006334C2">
        <w:rPr>
          <w:rFonts w:ascii="Verdana" w:hAnsi="Verdana"/>
          <w:sz w:val="20"/>
          <w:szCs w:val="20"/>
        </w:rPr>
        <w:t xml:space="preserve"> -</w:t>
      </w:r>
      <w:r w:rsidRPr="00D371C8">
        <w:rPr>
          <w:rFonts w:ascii="Verdana" w:hAnsi="Verdana"/>
          <w:sz w:val="20"/>
          <w:szCs w:val="20"/>
        </w:rPr>
        <w:t xml:space="preserve"> all human rights abuses and violations of international humanitarian law, including abductions, torture and other ill-treatment, looting and de</w:t>
      </w:r>
      <w:r>
        <w:rPr>
          <w:rFonts w:ascii="Verdana" w:hAnsi="Verdana"/>
          <w:sz w:val="20"/>
          <w:szCs w:val="20"/>
        </w:rPr>
        <w:t xml:space="preserve">struction of civilian property, </w:t>
      </w:r>
      <w:r w:rsidRPr="00D371C8">
        <w:rPr>
          <w:rFonts w:ascii="Verdana" w:hAnsi="Verdana"/>
          <w:sz w:val="20"/>
          <w:szCs w:val="20"/>
        </w:rPr>
        <w:t>direct attacks on ci</w:t>
      </w:r>
      <w:r>
        <w:rPr>
          <w:rFonts w:ascii="Verdana" w:hAnsi="Verdana"/>
          <w:sz w:val="20"/>
          <w:szCs w:val="20"/>
        </w:rPr>
        <w:t>vilians and on civilian objects</w:t>
      </w:r>
      <w:r w:rsidR="006334C2">
        <w:rPr>
          <w:rFonts w:ascii="Verdana" w:hAnsi="Verdana"/>
          <w:sz w:val="20"/>
          <w:szCs w:val="20"/>
        </w:rPr>
        <w:t xml:space="preserve"> such as medical facilities.</w:t>
      </w:r>
    </w:p>
    <w:p w14:paraId="067A6DBF" w14:textId="0C675C63" w:rsidR="008862EA" w:rsidRPr="00D371C8" w:rsidRDefault="008862EA" w:rsidP="0093282B">
      <w:pPr>
        <w:spacing w:line="360" w:lineRule="auto"/>
        <w:rPr>
          <w:rFonts w:ascii="Verdana" w:hAnsi="Verdana"/>
          <w:sz w:val="20"/>
          <w:szCs w:val="20"/>
        </w:rPr>
      </w:pPr>
    </w:p>
    <w:p w14:paraId="012D620F" w14:textId="7EC4E793" w:rsidR="008862EA" w:rsidRPr="00D371C8" w:rsidRDefault="008862EA" w:rsidP="0093282B">
      <w:pPr>
        <w:pStyle w:val="ListParagraph"/>
        <w:spacing w:line="360" w:lineRule="auto"/>
        <w:ind w:left="0"/>
        <w:jc w:val="both"/>
        <w:rPr>
          <w:rFonts w:ascii="Verdana" w:hAnsi="Verdana"/>
          <w:sz w:val="20"/>
          <w:szCs w:val="20"/>
        </w:rPr>
      </w:pPr>
      <w:r w:rsidRPr="00D371C8">
        <w:rPr>
          <w:rFonts w:ascii="Verdana" w:hAnsi="Verdana"/>
          <w:sz w:val="20"/>
          <w:szCs w:val="20"/>
        </w:rPr>
        <w:t xml:space="preserve">New Zealand </w:t>
      </w:r>
      <w:r w:rsidRPr="00D371C8">
        <w:rPr>
          <w:rFonts w:ascii="Verdana" w:hAnsi="Verdana"/>
          <w:bCs/>
          <w:sz w:val="20"/>
          <w:szCs w:val="20"/>
        </w:rPr>
        <w:t>recognises</w:t>
      </w:r>
      <w:r w:rsidRPr="00D371C8">
        <w:rPr>
          <w:rFonts w:ascii="Verdana" w:hAnsi="Verdana"/>
          <w:sz w:val="20"/>
          <w:szCs w:val="20"/>
        </w:rPr>
        <w:t xml:space="preserve"> that migrants and asylum-seekers from Sub-Saharan Africa face increasing</w:t>
      </w:r>
      <w:r w:rsidR="00D371C8">
        <w:rPr>
          <w:rFonts w:ascii="Verdana" w:hAnsi="Verdana"/>
          <w:sz w:val="20"/>
          <w:szCs w:val="20"/>
        </w:rPr>
        <w:t xml:space="preserve"> and persistent discrimination </w:t>
      </w:r>
      <w:r w:rsidRPr="00D371C8">
        <w:rPr>
          <w:rFonts w:ascii="Verdana" w:hAnsi="Verdana"/>
          <w:sz w:val="20"/>
          <w:szCs w:val="20"/>
        </w:rPr>
        <w:t xml:space="preserve">and </w:t>
      </w:r>
      <w:r w:rsidRPr="00D371C8">
        <w:rPr>
          <w:rFonts w:ascii="Verdana" w:hAnsi="Verdana"/>
          <w:b/>
          <w:bCs/>
          <w:sz w:val="20"/>
          <w:szCs w:val="20"/>
        </w:rPr>
        <w:t>recommends</w:t>
      </w:r>
      <w:r w:rsidRPr="00D371C8">
        <w:rPr>
          <w:rFonts w:ascii="Verdana" w:hAnsi="Verdana"/>
          <w:sz w:val="20"/>
          <w:szCs w:val="20"/>
        </w:rPr>
        <w:t xml:space="preserve"> Libya take all action necessary to ensure the protection of refugees and asylum seekers, including the provision of access to birth registration for all children born in Libya, and the ratification the 1951 Refugee Convention and its 1967 Protocol.</w:t>
      </w:r>
    </w:p>
    <w:p w14:paraId="08628E7F" w14:textId="77777777" w:rsidR="00FA0337" w:rsidRPr="00D371C8" w:rsidRDefault="00FA0337" w:rsidP="008862EA">
      <w:pPr>
        <w:tabs>
          <w:tab w:val="left" w:pos="567"/>
        </w:tabs>
        <w:spacing w:line="360" w:lineRule="auto"/>
        <w:rPr>
          <w:rFonts w:ascii="Verdana" w:hAnsi="Verdana"/>
          <w:sz w:val="20"/>
          <w:szCs w:val="20"/>
          <w:lang w:bidi="ar-SA"/>
        </w:rPr>
      </w:pPr>
    </w:p>
    <w:p w14:paraId="15EEAD3F" w14:textId="6C2D9E93" w:rsidR="007B3144" w:rsidRPr="00D371C8" w:rsidRDefault="00C453A9" w:rsidP="008862EA">
      <w:pPr>
        <w:tabs>
          <w:tab w:val="left" w:pos="567"/>
        </w:tabs>
        <w:spacing w:line="360" w:lineRule="auto"/>
        <w:rPr>
          <w:rFonts w:ascii="Verdana" w:hAnsi="Verdana"/>
          <w:sz w:val="20"/>
          <w:szCs w:val="20"/>
        </w:rPr>
      </w:pPr>
      <w:r>
        <w:rPr>
          <w:rFonts w:ascii="Verdana" w:hAnsi="Verdana"/>
          <w:sz w:val="20"/>
          <w:szCs w:val="20"/>
          <w:lang w:bidi="ar-SA"/>
        </w:rPr>
        <w:t xml:space="preserve">Thank you Mr President. </w:t>
      </w:r>
      <w:bookmarkStart w:id="0" w:name="_GoBack"/>
      <w:bookmarkEnd w:id="0"/>
    </w:p>
    <w:sectPr w:rsidR="007B3144" w:rsidRPr="00D371C8">
      <w:headerReference w:type="even" r:id="rId16"/>
      <w:headerReference w:type="default" r:id="rId17"/>
      <w:footerReference w:type="even" r:id="rId18"/>
      <w:footerReference w:type="default" r:id="rId19"/>
      <w:headerReference w:type="first" r:id="rId20"/>
      <w:footerReference w:type="first" r:id="rId21"/>
      <w:pgSz w:w="11906" w:h="16838" w:code="9"/>
      <w:pgMar w:top="1985" w:right="1701" w:bottom="1985"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AC44B" w14:textId="77777777" w:rsidR="006C00BF" w:rsidRDefault="006C00BF">
      <w:r>
        <w:separator/>
      </w:r>
    </w:p>
  </w:endnote>
  <w:endnote w:type="continuationSeparator" w:id="0">
    <w:p w14:paraId="547325A9" w14:textId="77777777" w:rsidR="006C00BF" w:rsidRDefault="006C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ED467" w14:textId="77777777" w:rsidR="00A44625" w:rsidRDefault="00A44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6A32" w14:textId="77777777" w:rsidR="00A44625" w:rsidRDefault="00A44625">
    <w:pPr>
      <w:pStyle w:val="Footer"/>
    </w:pPr>
  </w:p>
  <w:p w14:paraId="5AA1D4FB" w14:textId="0644E03D" w:rsidR="00A44625" w:rsidRDefault="00A44625">
    <w:pPr>
      <w:pStyle w:val="Footer"/>
      <w:rPr>
        <w:sz w:val="16"/>
      </w:rPr>
    </w:pPr>
    <w:r>
      <w:rPr>
        <w:sz w:val="16"/>
      </w:rPr>
      <w:fldChar w:fldCharType="begin"/>
    </w:r>
    <w:r>
      <w:rPr>
        <w:sz w:val="16"/>
      </w:rPr>
      <w:instrText xml:space="preserve"> FILENAME  \* MERGEFORMAT </w:instrText>
    </w:r>
    <w:r>
      <w:rPr>
        <w:sz w:val="16"/>
      </w:rPr>
      <w:fldChar w:fldCharType="separate"/>
    </w:r>
    <w:r w:rsidR="006B4778">
      <w:rPr>
        <w:noProof/>
        <w:sz w:val="16"/>
      </w:rPr>
      <w:t>NZ UPR Statement on Maldives 2015</w:t>
    </w:r>
    <w:r>
      <w:rPr>
        <w:sz w:val="16"/>
      </w:rPr>
      <w:fldChar w:fldCharType="end"/>
    </w:r>
  </w:p>
  <w:p w14:paraId="0D7492B4" w14:textId="77777777" w:rsidR="00A44625" w:rsidRDefault="00A44625">
    <w:pPr>
      <w:pStyle w:val="Footer"/>
      <w:rPr>
        <w:sz w:val="16"/>
      </w:rPr>
    </w:pPr>
  </w:p>
  <w:p w14:paraId="4C2CBDFC" w14:textId="71F8EE65" w:rsidR="00A44625" w:rsidRDefault="00A4462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929A" w14:textId="75DE8556" w:rsidR="00A44625" w:rsidRDefault="00A44625">
    <w:pPr>
      <w:pStyle w:val="Footer"/>
      <w:jc w:val="center"/>
      <w:rPr>
        <w:rFonts w:cs="Arial"/>
        <w:b/>
        <w:bCs/>
      </w:rPr>
    </w:pPr>
  </w:p>
  <w:p w14:paraId="3DDADB50" w14:textId="77777777" w:rsidR="00A44625" w:rsidRDefault="00A44625">
    <w:pPr>
      <w:pStyle w:val="Footer"/>
    </w:pPr>
  </w:p>
  <w:p w14:paraId="101C5CD7" w14:textId="77777777" w:rsidR="00A44625" w:rsidRDefault="00A44625">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5C055" w14:textId="77777777" w:rsidR="006C00BF" w:rsidRDefault="006C00BF">
      <w:r>
        <w:separator/>
      </w:r>
    </w:p>
  </w:footnote>
  <w:footnote w:type="continuationSeparator" w:id="0">
    <w:p w14:paraId="063550C1" w14:textId="77777777" w:rsidR="006C00BF" w:rsidRDefault="006C0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418C3" w14:textId="77777777" w:rsidR="00A44625" w:rsidRDefault="00A44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3960" w14:textId="3BE2C8FA" w:rsidR="00A44625" w:rsidRDefault="00A44625">
    <w:pPr>
      <w:pStyle w:val="Header"/>
      <w:jc w:val="center"/>
      <w:rPr>
        <w:rStyle w:val="PageNumber"/>
      </w:rPr>
    </w:pPr>
  </w:p>
  <w:p w14:paraId="4118FF20" w14:textId="77777777" w:rsidR="00A44625" w:rsidRDefault="00A44625">
    <w:pPr>
      <w:pStyle w:val="Header"/>
      <w:jc w:val="center"/>
      <w:rPr>
        <w:rStyle w:val="PageNumber"/>
      </w:rPr>
    </w:pPr>
  </w:p>
  <w:p w14:paraId="77005426" w14:textId="77777777" w:rsidR="00A44625" w:rsidRDefault="00A44625">
    <w:pPr>
      <w:pStyle w:val="Header"/>
      <w:jc w:val="center"/>
    </w:pPr>
    <w:r>
      <w:rPr>
        <w:rStyle w:val="PageNumber"/>
      </w:rPr>
      <w:fldChar w:fldCharType="begin"/>
    </w:r>
    <w:r>
      <w:rPr>
        <w:rStyle w:val="PageNumber"/>
      </w:rPr>
      <w:instrText xml:space="preserve"> PAGE </w:instrText>
    </w:r>
    <w:r>
      <w:rPr>
        <w:rStyle w:val="PageNumber"/>
      </w:rPr>
      <w:fldChar w:fldCharType="separate"/>
    </w:r>
    <w:r w:rsidR="00C453A9">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52CA" w14:textId="77777777" w:rsidR="00A44625" w:rsidRDefault="00A44625">
    <w:pPr>
      <w:pStyle w:val="Header"/>
      <w:jc w:val="center"/>
    </w:pPr>
  </w:p>
  <w:p w14:paraId="1C360134" w14:textId="77777777" w:rsidR="00A44625" w:rsidRDefault="00A44625">
    <w:pPr>
      <w:pStyle w:val="Header"/>
      <w:jc w:val="center"/>
    </w:pPr>
  </w:p>
  <w:p w14:paraId="5ED8D7FE" w14:textId="77777777" w:rsidR="00A44625" w:rsidRDefault="00A44625">
    <w:pPr>
      <w:pStyle w:val="Header"/>
      <w:jc w:val="center"/>
      <w:rPr>
        <w:rFonts w:cs="Arial"/>
        <w:b/>
        <w:bCs/>
      </w:rPr>
    </w:pPr>
    <w:bookmarkStart w:id="1" w:name="Classification"/>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8E0"/>
    <w:multiLevelType w:val="hybridMultilevel"/>
    <w:tmpl w:val="84120B0A"/>
    <w:lvl w:ilvl="0" w:tplc="272C4C6E">
      <w:start w:val="6"/>
      <w:numFmt w:val="bullet"/>
      <w:lvlText w:val="-"/>
      <w:lvlJc w:val="left"/>
      <w:pPr>
        <w:ind w:left="405" w:hanging="360"/>
      </w:pPr>
      <w:rPr>
        <w:rFonts w:ascii="Calibri" w:eastAsia="Calibri" w:hAnsi="Calibri" w:cs="Times New Roman" w:hint="default"/>
      </w:rPr>
    </w:lvl>
    <w:lvl w:ilvl="1" w:tplc="14090003">
      <w:start w:val="1"/>
      <w:numFmt w:val="bullet"/>
      <w:lvlText w:val="o"/>
      <w:lvlJc w:val="left"/>
      <w:pPr>
        <w:ind w:left="1125" w:hanging="360"/>
      </w:pPr>
      <w:rPr>
        <w:rFonts w:ascii="Courier New" w:hAnsi="Courier New" w:cs="Courier New" w:hint="default"/>
      </w:rPr>
    </w:lvl>
    <w:lvl w:ilvl="2" w:tplc="14090005">
      <w:start w:val="1"/>
      <w:numFmt w:val="bullet"/>
      <w:lvlText w:val=""/>
      <w:lvlJc w:val="left"/>
      <w:pPr>
        <w:ind w:left="1845" w:hanging="360"/>
      </w:pPr>
      <w:rPr>
        <w:rFonts w:ascii="Wingdings" w:hAnsi="Wingdings" w:hint="default"/>
      </w:rPr>
    </w:lvl>
    <w:lvl w:ilvl="3" w:tplc="14090001">
      <w:start w:val="1"/>
      <w:numFmt w:val="bullet"/>
      <w:lvlText w:val=""/>
      <w:lvlJc w:val="left"/>
      <w:pPr>
        <w:ind w:left="2565" w:hanging="360"/>
      </w:pPr>
      <w:rPr>
        <w:rFonts w:ascii="Symbol" w:hAnsi="Symbol" w:hint="default"/>
      </w:rPr>
    </w:lvl>
    <w:lvl w:ilvl="4" w:tplc="14090003">
      <w:start w:val="1"/>
      <w:numFmt w:val="bullet"/>
      <w:lvlText w:val="o"/>
      <w:lvlJc w:val="left"/>
      <w:pPr>
        <w:ind w:left="3285" w:hanging="360"/>
      </w:pPr>
      <w:rPr>
        <w:rFonts w:ascii="Courier New" w:hAnsi="Courier New" w:cs="Courier New" w:hint="default"/>
      </w:rPr>
    </w:lvl>
    <w:lvl w:ilvl="5" w:tplc="14090005">
      <w:start w:val="1"/>
      <w:numFmt w:val="bullet"/>
      <w:lvlText w:val=""/>
      <w:lvlJc w:val="left"/>
      <w:pPr>
        <w:ind w:left="4005" w:hanging="360"/>
      </w:pPr>
      <w:rPr>
        <w:rFonts w:ascii="Wingdings" w:hAnsi="Wingdings" w:hint="default"/>
      </w:rPr>
    </w:lvl>
    <w:lvl w:ilvl="6" w:tplc="14090001">
      <w:start w:val="1"/>
      <w:numFmt w:val="bullet"/>
      <w:lvlText w:val=""/>
      <w:lvlJc w:val="left"/>
      <w:pPr>
        <w:ind w:left="4725" w:hanging="360"/>
      </w:pPr>
      <w:rPr>
        <w:rFonts w:ascii="Symbol" w:hAnsi="Symbol" w:hint="default"/>
      </w:rPr>
    </w:lvl>
    <w:lvl w:ilvl="7" w:tplc="14090003">
      <w:start w:val="1"/>
      <w:numFmt w:val="bullet"/>
      <w:lvlText w:val="o"/>
      <w:lvlJc w:val="left"/>
      <w:pPr>
        <w:ind w:left="5445" w:hanging="360"/>
      </w:pPr>
      <w:rPr>
        <w:rFonts w:ascii="Courier New" w:hAnsi="Courier New" w:cs="Courier New" w:hint="default"/>
      </w:rPr>
    </w:lvl>
    <w:lvl w:ilvl="8" w:tplc="14090005">
      <w:start w:val="1"/>
      <w:numFmt w:val="bullet"/>
      <w:lvlText w:val=""/>
      <w:lvlJc w:val="left"/>
      <w:pPr>
        <w:ind w:left="6165" w:hanging="360"/>
      </w:pPr>
      <w:rPr>
        <w:rFonts w:ascii="Wingdings" w:hAnsi="Wingdings" w:hint="default"/>
      </w:rPr>
    </w:lvl>
  </w:abstractNum>
  <w:abstractNum w:abstractNumId="1">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
    <w:nsid w:val="5BA87A62"/>
    <w:multiLevelType w:val="multilevel"/>
    <w:tmpl w:val="00000000"/>
    <w:lvl w:ilvl="0">
      <w:start w:val="1"/>
      <w:numFmt w:val="none"/>
      <w:lvlText w:val=""/>
      <w:legacy w:legacy="1" w:legacySpace="0" w:legacyIndent="0"/>
      <w:lvlJc w:val="left"/>
    </w:lvl>
    <w:lvl w:ilvl="1">
      <w:start w:val="2"/>
      <w:numFmt w:val="decimal"/>
      <w:lvlText w:val="%2"/>
      <w:legacy w:legacy="1" w:legacySpace="567" w:legacyIndent="0"/>
      <w:lvlJc w:val="left"/>
    </w:lvl>
    <w:lvl w:ilvl="2">
      <w:start w:val="1"/>
      <w:numFmt w:val="lowerLetter"/>
      <w:lvlText w:val="%3"/>
      <w:legacy w:legacy="1" w:legacySpace="0" w:legacyIndent="709"/>
      <w:lvlJc w:val="left"/>
      <w:pPr>
        <w:ind w:left="709" w:hanging="709"/>
      </w:pPr>
    </w:lvl>
    <w:lvl w:ilvl="3">
      <w:start w:val="1"/>
      <w:numFmt w:val="lowerRoman"/>
      <w:lvlText w:val="%4"/>
      <w:legacy w:legacy="1" w:legacySpace="0" w:legacyIndent="709"/>
      <w:lvlJc w:val="left"/>
      <w:pPr>
        <w:ind w:left="1418" w:hanging="709"/>
      </w:pPr>
    </w:lvl>
    <w:lvl w:ilvl="4">
      <w:start w:val="1"/>
      <w:numFmt w:val="none"/>
      <w:lvlText w:val="·"/>
      <w:legacy w:legacy="1" w:legacySpace="0" w:legacyIndent="709"/>
      <w:lvlJc w:val="left"/>
      <w:pPr>
        <w:ind w:left="2127" w:hanging="709"/>
      </w:pPr>
    </w:lvl>
    <w:lvl w:ilvl="5">
      <w:start w:val="1"/>
      <w:numFmt w:val="none"/>
      <w:lvlText w:val="-"/>
      <w:legacy w:legacy="1" w:legacySpace="0" w:legacyIndent="709"/>
      <w:lvlJc w:val="left"/>
      <w:pPr>
        <w:ind w:left="2836" w:hanging="709"/>
      </w:pPr>
    </w:lvl>
    <w:lvl w:ilvl="6">
      <w:start w:val="1"/>
      <w:numFmt w:val="none"/>
      <w:lvlText w:val=""/>
      <w:legacy w:legacy="1" w:legacySpace="0" w:legacyIndent="709"/>
      <w:lvlJc w:val="left"/>
      <w:pPr>
        <w:ind w:left="3545" w:hanging="709"/>
      </w:pPr>
    </w:lvl>
    <w:lvl w:ilvl="7">
      <w:start w:val="1"/>
      <w:numFmt w:val="none"/>
      <w:lvlText w:val=""/>
      <w:legacy w:legacy="1" w:legacySpace="0" w:legacyIndent="709"/>
      <w:lvlJc w:val="left"/>
      <w:pPr>
        <w:ind w:left="4254" w:hanging="709"/>
      </w:pPr>
    </w:lvl>
    <w:lvl w:ilvl="8">
      <w:start w:val="1"/>
      <w:numFmt w:val="none"/>
      <w:lvlText w:val=""/>
      <w:legacy w:legacy="1" w:legacySpace="0" w:legacyIndent="709"/>
      <w:lvlJc w:val="left"/>
      <w:pPr>
        <w:ind w:left="4963" w:hanging="709"/>
      </w:pPr>
    </w:lvl>
  </w:abstractNum>
  <w:num w:numId="1">
    <w:abstractNumId w:val="2"/>
  </w:num>
  <w:num w:numId="2">
    <w:abstractNumId w:val="1"/>
  </w:num>
  <w:num w:numId="3">
    <w:abstractNumId w:val="1"/>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Footer" w:val="2469530v1"/>
  </w:docVars>
  <w:rsids>
    <w:rsidRoot w:val="00BF75BE"/>
    <w:rsid w:val="00024444"/>
    <w:rsid w:val="00036BF5"/>
    <w:rsid w:val="00055DDE"/>
    <w:rsid w:val="000710A6"/>
    <w:rsid w:val="000918EE"/>
    <w:rsid w:val="000C49C1"/>
    <w:rsid w:val="000D096F"/>
    <w:rsid w:val="000D74E9"/>
    <w:rsid w:val="000E07C5"/>
    <w:rsid w:val="000E164C"/>
    <w:rsid w:val="0015743E"/>
    <w:rsid w:val="0018357F"/>
    <w:rsid w:val="00183A01"/>
    <w:rsid w:val="001B17F0"/>
    <w:rsid w:val="001E7CD6"/>
    <w:rsid w:val="001F613E"/>
    <w:rsid w:val="00204439"/>
    <w:rsid w:val="00257642"/>
    <w:rsid w:val="00272998"/>
    <w:rsid w:val="00281B13"/>
    <w:rsid w:val="002E4445"/>
    <w:rsid w:val="00305E83"/>
    <w:rsid w:val="00311EEF"/>
    <w:rsid w:val="00351BB9"/>
    <w:rsid w:val="00400149"/>
    <w:rsid w:val="00437CA1"/>
    <w:rsid w:val="00443F88"/>
    <w:rsid w:val="00482B19"/>
    <w:rsid w:val="00483914"/>
    <w:rsid w:val="0049347D"/>
    <w:rsid w:val="004E2220"/>
    <w:rsid w:val="00511E61"/>
    <w:rsid w:val="00533821"/>
    <w:rsid w:val="005C6434"/>
    <w:rsid w:val="005D0544"/>
    <w:rsid w:val="006334C2"/>
    <w:rsid w:val="0063512F"/>
    <w:rsid w:val="0066432C"/>
    <w:rsid w:val="00672D8B"/>
    <w:rsid w:val="00696846"/>
    <w:rsid w:val="006A0F96"/>
    <w:rsid w:val="006B4778"/>
    <w:rsid w:val="006C00BF"/>
    <w:rsid w:val="006D28EB"/>
    <w:rsid w:val="006F53DC"/>
    <w:rsid w:val="00722ADB"/>
    <w:rsid w:val="00753060"/>
    <w:rsid w:val="00767639"/>
    <w:rsid w:val="007B1939"/>
    <w:rsid w:val="007B3144"/>
    <w:rsid w:val="00811E92"/>
    <w:rsid w:val="00882D6A"/>
    <w:rsid w:val="008862EA"/>
    <w:rsid w:val="008904D9"/>
    <w:rsid w:val="008C5C72"/>
    <w:rsid w:val="008F3638"/>
    <w:rsid w:val="0093282B"/>
    <w:rsid w:val="00947AF5"/>
    <w:rsid w:val="00953D23"/>
    <w:rsid w:val="00967EC6"/>
    <w:rsid w:val="009A7A50"/>
    <w:rsid w:val="009B1434"/>
    <w:rsid w:val="009B47D4"/>
    <w:rsid w:val="009E2B4B"/>
    <w:rsid w:val="009E611C"/>
    <w:rsid w:val="009E7A19"/>
    <w:rsid w:val="009F3877"/>
    <w:rsid w:val="00A3266E"/>
    <w:rsid w:val="00A41332"/>
    <w:rsid w:val="00A44625"/>
    <w:rsid w:val="00A7756E"/>
    <w:rsid w:val="00AA0E2E"/>
    <w:rsid w:val="00AA4F3B"/>
    <w:rsid w:val="00AB5CCA"/>
    <w:rsid w:val="00AE0FA4"/>
    <w:rsid w:val="00B13950"/>
    <w:rsid w:val="00B26856"/>
    <w:rsid w:val="00B50744"/>
    <w:rsid w:val="00B57EF5"/>
    <w:rsid w:val="00B84DAF"/>
    <w:rsid w:val="00BB61B8"/>
    <w:rsid w:val="00BC1706"/>
    <w:rsid w:val="00BD28C2"/>
    <w:rsid w:val="00BF75BE"/>
    <w:rsid w:val="00C03407"/>
    <w:rsid w:val="00C276D9"/>
    <w:rsid w:val="00C453A9"/>
    <w:rsid w:val="00C97D3F"/>
    <w:rsid w:val="00CA0371"/>
    <w:rsid w:val="00CD3D9E"/>
    <w:rsid w:val="00CD5ED5"/>
    <w:rsid w:val="00D075DA"/>
    <w:rsid w:val="00D371C8"/>
    <w:rsid w:val="00D51FEE"/>
    <w:rsid w:val="00D64FF9"/>
    <w:rsid w:val="00D81E19"/>
    <w:rsid w:val="00D9441C"/>
    <w:rsid w:val="00DD1334"/>
    <w:rsid w:val="00E4689B"/>
    <w:rsid w:val="00E62304"/>
    <w:rsid w:val="00E8206A"/>
    <w:rsid w:val="00EB5EFF"/>
    <w:rsid w:val="00EC476B"/>
    <w:rsid w:val="00ED19C4"/>
    <w:rsid w:val="00ED45F1"/>
    <w:rsid w:val="00EF3F6D"/>
    <w:rsid w:val="00F209DF"/>
    <w:rsid w:val="00F52FC7"/>
    <w:rsid w:val="00FA0337"/>
    <w:rsid w:val="00FC63D1"/>
    <w:rsid w:val="00FF2D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5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szCs w:val="24"/>
      <w:lang w:eastAsia="en-US" w:bidi="ar-DZ"/>
    </w:rPr>
  </w:style>
  <w:style w:type="paragraph" w:styleId="Heading1">
    <w:name w:val="heading 1"/>
    <w:basedOn w:val="Normal"/>
    <w:next w:val="Normal"/>
    <w:qFormat/>
    <w:pPr>
      <w:keepNext/>
      <w:overflowPunct w:val="0"/>
      <w:autoSpaceDE w:val="0"/>
      <w:autoSpaceDN w:val="0"/>
      <w:adjustRightInd w:val="0"/>
      <w:spacing w:after="240"/>
      <w:textAlignment w:val="baseline"/>
      <w:outlineLvl w:val="0"/>
    </w:pPr>
    <w:rPr>
      <w:b/>
      <w:sz w:val="28"/>
      <w:szCs w:val="20"/>
    </w:rPr>
  </w:style>
  <w:style w:type="paragraph" w:styleId="Heading2">
    <w:name w:val="heading 2"/>
    <w:basedOn w:val="Normal"/>
    <w:next w:val="Normal"/>
    <w:qFormat/>
    <w:pPr>
      <w:keepNext/>
      <w:overflowPunct w:val="0"/>
      <w:autoSpaceDE w:val="0"/>
      <w:autoSpaceDN w:val="0"/>
      <w:adjustRightInd w:val="0"/>
      <w:spacing w:before="120" w:after="12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spacing w:before="120"/>
      <w:textAlignment w:val="baseline"/>
      <w:outlineLvl w:val="2"/>
    </w:pPr>
    <w:rPr>
      <w:b/>
      <w:i/>
      <w:szCs w:val="20"/>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ideMemoire">
    <w:name w:val="Aide Memoire"/>
    <w:basedOn w:val="Normal"/>
    <w:pPr>
      <w:overflowPunct w:val="0"/>
      <w:autoSpaceDE w:val="0"/>
      <w:autoSpaceDN w:val="0"/>
      <w:adjustRightInd w:val="0"/>
      <w:spacing w:before="360" w:line="480" w:lineRule="auto"/>
      <w:textAlignment w:val="baseline"/>
    </w:pPr>
    <w:rPr>
      <w:szCs w:val="20"/>
    </w:rPr>
  </w:style>
  <w:style w:type="paragraph" w:customStyle="1" w:styleId="BulletPoints">
    <w:name w:val="Bullet Points"/>
    <w:basedOn w:val="Normal"/>
    <w:pPr>
      <w:numPr>
        <w:numId w:val="4"/>
      </w:numPr>
      <w:overflowPunct w:val="0"/>
      <w:autoSpaceDE w:val="0"/>
      <w:autoSpaceDN w:val="0"/>
      <w:adjustRightInd w:val="0"/>
      <w:spacing w:after="240"/>
      <w:textAlignment w:val="baseline"/>
    </w:pPr>
    <w:rPr>
      <w:szCs w:val="20"/>
    </w:rPr>
  </w:style>
  <w:style w:type="character" w:customStyle="1" w:styleId="Classification">
    <w:name w:val="Classification"/>
    <w:rPr>
      <w:rFonts w:ascii="Arial" w:hAnsi="Arial"/>
      <w:b/>
      <w:noProof w:val="0"/>
      <w:sz w:val="24"/>
      <w:lang w:val="en-AU"/>
    </w:rPr>
  </w:style>
  <w:style w:type="paragraph" w:styleId="NormalIndent">
    <w:name w:val="Normal Indent"/>
    <w:basedOn w:val="Normal"/>
    <w:pPr>
      <w:overflowPunct w:val="0"/>
      <w:autoSpaceDE w:val="0"/>
      <w:autoSpaceDN w:val="0"/>
      <w:adjustRightInd w:val="0"/>
      <w:ind w:left="720" w:hanging="720"/>
      <w:textAlignment w:val="baseline"/>
    </w:pPr>
    <w:rPr>
      <w:szCs w:val="20"/>
    </w:rPr>
  </w:style>
  <w:style w:type="paragraph" w:customStyle="1" w:styleId="NumberParas">
    <w:name w:val="Number Paras"/>
    <w:basedOn w:val="Normal"/>
    <w:pPr>
      <w:overflowPunct w:val="0"/>
      <w:autoSpaceDE w:val="0"/>
      <w:autoSpaceDN w:val="0"/>
      <w:adjustRightInd w:val="0"/>
      <w:spacing w:after="240"/>
      <w:textAlignment w:val="baseline"/>
    </w:pPr>
    <w:rPr>
      <w:szCs w:val="20"/>
    </w:rPr>
  </w:style>
  <w:style w:type="character" w:styleId="PageNumber">
    <w:name w:val="page number"/>
    <w:basedOn w:val="DefaultParagraphFont"/>
  </w:style>
  <w:style w:type="paragraph" w:customStyle="1" w:styleId="TitleHeading">
    <w:name w:val="Title Heading"/>
    <w:basedOn w:val="Heading1"/>
    <w:next w:val="Normal"/>
    <w:pPr>
      <w:jc w:val="center"/>
    </w:pPr>
    <w:rPr>
      <w:sz w:val="32"/>
    </w:rPr>
  </w:style>
  <w:style w:type="table" w:customStyle="1" w:styleId="Table-Grid">
    <w:name w:val="Table-Grid"/>
    <w:basedOn w:val="TableNormal"/>
    <w:uiPriority w:val="99"/>
    <w:rsid w:val="00C03407"/>
    <w:rPr>
      <w:lang w:eastAsia="en-US"/>
    </w:rPr>
    <w:tblPr>
      <w:tblInd w:w="0" w:type="dxa"/>
      <w:tblBorders>
        <w:top w:val="single" w:sz="6" w:space="0" w:color="808080"/>
        <w:bottom w:val="single" w:sz="6" w:space="0" w:color="808080"/>
      </w:tblBorders>
      <w:tblCellMar>
        <w:top w:w="57" w:type="dxa"/>
        <w:left w:w="85" w:type="dxa"/>
        <w:bottom w:w="57" w:type="dxa"/>
        <w:right w:w="0" w:type="dxa"/>
      </w:tblCellMar>
    </w:tblPr>
    <w:tcPr>
      <w:shd w:val="clear" w:color="auto" w:fill="FFFFFF"/>
    </w:tcPr>
  </w:style>
  <w:style w:type="paragraph" w:styleId="ListParagraph">
    <w:name w:val="List Paragraph"/>
    <w:basedOn w:val="Normal"/>
    <w:uiPriority w:val="34"/>
    <w:qFormat/>
    <w:rsid w:val="0066432C"/>
    <w:pPr>
      <w:ind w:left="720"/>
      <w:jc w:val="left"/>
    </w:pPr>
    <w:rPr>
      <w:rFonts w:ascii="Calibri" w:eastAsia="Calibri" w:hAnsi="Calibri"/>
      <w:sz w:val="22"/>
      <w:szCs w:val="22"/>
      <w:lang w:eastAsia="en-NZ" w:bidi="ar-SA"/>
    </w:rPr>
  </w:style>
  <w:style w:type="character" w:styleId="CommentReference">
    <w:name w:val="annotation reference"/>
    <w:basedOn w:val="DefaultParagraphFont"/>
    <w:rsid w:val="009E7A19"/>
    <w:rPr>
      <w:sz w:val="16"/>
      <w:szCs w:val="16"/>
    </w:rPr>
  </w:style>
  <w:style w:type="paragraph" w:styleId="CommentText">
    <w:name w:val="annotation text"/>
    <w:basedOn w:val="Normal"/>
    <w:link w:val="CommentTextChar"/>
    <w:rsid w:val="009E7A19"/>
    <w:rPr>
      <w:sz w:val="20"/>
      <w:szCs w:val="20"/>
    </w:rPr>
  </w:style>
  <w:style w:type="character" w:customStyle="1" w:styleId="CommentTextChar">
    <w:name w:val="Comment Text Char"/>
    <w:basedOn w:val="DefaultParagraphFont"/>
    <w:link w:val="CommentText"/>
    <w:rsid w:val="009E7A19"/>
    <w:rPr>
      <w:rFonts w:ascii="Arial" w:hAnsi="Arial"/>
      <w:lang w:eastAsia="en-US" w:bidi="ar-DZ"/>
    </w:rPr>
  </w:style>
  <w:style w:type="paragraph" w:styleId="CommentSubject">
    <w:name w:val="annotation subject"/>
    <w:basedOn w:val="CommentText"/>
    <w:next w:val="CommentText"/>
    <w:link w:val="CommentSubjectChar"/>
    <w:rsid w:val="009E7A19"/>
    <w:rPr>
      <w:b/>
      <w:bCs/>
    </w:rPr>
  </w:style>
  <w:style w:type="character" w:customStyle="1" w:styleId="CommentSubjectChar">
    <w:name w:val="Comment Subject Char"/>
    <w:basedOn w:val="CommentTextChar"/>
    <w:link w:val="CommentSubject"/>
    <w:rsid w:val="009E7A19"/>
    <w:rPr>
      <w:rFonts w:ascii="Arial" w:hAnsi="Arial"/>
      <w:b/>
      <w:bCs/>
      <w:lang w:eastAsia="en-US" w:bidi="ar-DZ"/>
    </w:rPr>
  </w:style>
  <w:style w:type="paragraph" w:styleId="BalloonText">
    <w:name w:val="Balloon Text"/>
    <w:basedOn w:val="Normal"/>
    <w:link w:val="BalloonTextChar"/>
    <w:rsid w:val="009E7A19"/>
    <w:rPr>
      <w:rFonts w:ascii="Tahoma" w:hAnsi="Tahoma" w:cs="Tahoma"/>
      <w:sz w:val="16"/>
      <w:szCs w:val="16"/>
    </w:rPr>
  </w:style>
  <w:style w:type="character" w:customStyle="1" w:styleId="BalloonTextChar">
    <w:name w:val="Balloon Text Char"/>
    <w:basedOn w:val="DefaultParagraphFont"/>
    <w:link w:val="BalloonText"/>
    <w:rsid w:val="009E7A19"/>
    <w:rPr>
      <w:rFonts w:ascii="Tahoma" w:hAnsi="Tahoma" w:cs="Tahoma"/>
      <w:sz w:val="16"/>
      <w:szCs w:val="16"/>
      <w:lang w:eastAsia="en-US"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szCs w:val="24"/>
      <w:lang w:eastAsia="en-US" w:bidi="ar-DZ"/>
    </w:rPr>
  </w:style>
  <w:style w:type="paragraph" w:styleId="Heading1">
    <w:name w:val="heading 1"/>
    <w:basedOn w:val="Normal"/>
    <w:next w:val="Normal"/>
    <w:qFormat/>
    <w:pPr>
      <w:keepNext/>
      <w:overflowPunct w:val="0"/>
      <w:autoSpaceDE w:val="0"/>
      <w:autoSpaceDN w:val="0"/>
      <w:adjustRightInd w:val="0"/>
      <w:spacing w:after="240"/>
      <w:textAlignment w:val="baseline"/>
      <w:outlineLvl w:val="0"/>
    </w:pPr>
    <w:rPr>
      <w:b/>
      <w:sz w:val="28"/>
      <w:szCs w:val="20"/>
    </w:rPr>
  </w:style>
  <w:style w:type="paragraph" w:styleId="Heading2">
    <w:name w:val="heading 2"/>
    <w:basedOn w:val="Normal"/>
    <w:next w:val="Normal"/>
    <w:qFormat/>
    <w:pPr>
      <w:keepNext/>
      <w:overflowPunct w:val="0"/>
      <w:autoSpaceDE w:val="0"/>
      <w:autoSpaceDN w:val="0"/>
      <w:adjustRightInd w:val="0"/>
      <w:spacing w:before="120" w:after="12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spacing w:before="120"/>
      <w:textAlignment w:val="baseline"/>
      <w:outlineLvl w:val="2"/>
    </w:pPr>
    <w:rPr>
      <w:b/>
      <w:i/>
      <w:szCs w:val="20"/>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ideMemoire">
    <w:name w:val="Aide Memoire"/>
    <w:basedOn w:val="Normal"/>
    <w:pPr>
      <w:overflowPunct w:val="0"/>
      <w:autoSpaceDE w:val="0"/>
      <w:autoSpaceDN w:val="0"/>
      <w:adjustRightInd w:val="0"/>
      <w:spacing w:before="360" w:line="480" w:lineRule="auto"/>
      <w:textAlignment w:val="baseline"/>
    </w:pPr>
    <w:rPr>
      <w:szCs w:val="20"/>
    </w:rPr>
  </w:style>
  <w:style w:type="paragraph" w:customStyle="1" w:styleId="BulletPoints">
    <w:name w:val="Bullet Points"/>
    <w:basedOn w:val="Normal"/>
    <w:pPr>
      <w:numPr>
        <w:numId w:val="4"/>
      </w:numPr>
      <w:overflowPunct w:val="0"/>
      <w:autoSpaceDE w:val="0"/>
      <w:autoSpaceDN w:val="0"/>
      <w:adjustRightInd w:val="0"/>
      <w:spacing w:after="240"/>
      <w:textAlignment w:val="baseline"/>
    </w:pPr>
    <w:rPr>
      <w:szCs w:val="20"/>
    </w:rPr>
  </w:style>
  <w:style w:type="character" w:customStyle="1" w:styleId="Classification">
    <w:name w:val="Classification"/>
    <w:rPr>
      <w:rFonts w:ascii="Arial" w:hAnsi="Arial"/>
      <w:b/>
      <w:noProof w:val="0"/>
      <w:sz w:val="24"/>
      <w:lang w:val="en-AU"/>
    </w:rPr>
  </w:style>
  <w:style w:type="paragraph" w:styleId="NormalIndent">
    <w:name w:val="Normal Indent"/>
    <w:basedOn w:val="Normal"/>
    <w:pPr>
      <w:overflowPunct w:val="0"/>
      <w:autoSpaceDE w:val="0"/>
      <w:autoSpaceDN w:val="0"/>
      <w:adjustRightInd w:val="0"/>
      <w:ind w:left="720" w:hanging="720"/>
      <w:textAlignment w:val="baseline"/>
    </w:pPr>
    <w:rPr>
      <w:szCs w:val="20"/>
    </w:rPr>
  </w:style>
  <w:style w:type="paragraph" w:customStyle="1" w:styleId="NumberParas">
    <w:name w:val="Number Paras"/>
    <w:basedOn w:val="Normal"/>
    <w:pPr>
      <w:overflowPunct w:val="0"/>
      <w:autoSpaceDE w:val="0"/>
      <w:autoSpaceDN w:val="0"/>
      <w:adjustRightInd w:val="0"/>
      <w:spacing w:after="240"/>
      <w:textAlignment w:val="baseline"/>
    </w:pPr>
    <w:rPr>
      <w:szCs w:val="20"/>
    </w:rPr>
  </w:style>
  <w:style w:type="character" w:styleId="PageNumber">
    <w:name w:val="page number"/>
    <w:basedOn w:val="DefaultParagraphFont"/>
  </w:style>
  <w:style w:type="paragraph" w:customStyle="1" w:styleId="TitleHeading">
    <w:name w:val="Title Heading"/>
    <w:basedOn w:val="Heading1"/>
    <w:next w:val="Normal"/>
    <w:pPr>
      <w:jc w:val="center"/>
    </w:pPr>
    <w:rPr>
      <w:sz w:val="32"/>
    </w:rPr>
  </w:style>
  <w:style w:type="table" w:customStyle="1" w:styleId="Table-Grid">
    <w:name w:val="Table-Grid"/>
    <w:basedOn w:val="TableNormal"/>
    <w:uiPriority w:val="99"/>
    <w:rsid w:val="00C03407"/>
    <w:rPr>
      <w:lang w:eastAsia="en-US"/>
    </w:rPr>
    <w:tblPr>
      <w:tblInd w:w="0" w:type="dxa"/>
      <w:tblBorders>
        <w:top w:val="single" w:sz="6" w:space="0" w:color="808080"/>
        <w:bottom w:val="single" w:sz="6" w:space="0" w:color="808080"/>
      </w:tblBorders>
      <w:tblCellMar>
        <w:top w:w="57" w:type="dxa"/>
        <w:left w:w="85" w:type="dxa"/>
        <w:bottom w:w="57" w:type="dxa"/>
        <w:right w:w="0" w:type="dxa"/>
      </w:tblCellMar>
    </w:tblPr>
    <w:tcPr>
      <w:shd w:val="clear" w:color="auto" w:fill="FFFFFF"/>
    </w:tcPr>
  </w:style>
  <w:style w:type="paragraph" w:styleId="ListParagraph">
    <w:name w:val="List Paragraph"/>
    <w:basedOn w:val="Normal"/>
    <w:uiPriority w:val="34"/>
    <w:qFormat/>
    <w:rsid w:val="0066432C"/>
    <w:pPr>
      <w:ind w:left="720"/>
      <w:jc w:val="left"/>
    </w:pPr>
    <w:rPr>
      <w:rFonts w:ascii="Calibri" w:eastAsia="Calibri" w:hAnsi="Calibri"/>
      <w:sz w:val="22"/>
      <w:szCs w:val="22"/>
      <w:lang w:eastAsia="en-NZ" w:bidi="ar-SA"/>
    </w:rPr>
  </w:style>
  <w:style w:type="character" w:styleId="CommentReference">
    <w:name w:val="annotation reference"/>
    <w:basedOn w:val="DefaultParagraphFont"/>
    <w:rsid w:val="009E7A19"/>
    <w:rPr>
      <w:sz w:val="16"/>
      <w:szCs w:val="16"/>
    </w:rPr>
  </w:style>
  <w:style w:type="paragraph" w:styleId="CommentText">
    <w:name w:val="annotation text"/>
    <w:basedOn w:val="Normal"/>
    <w:link w:val="CommentTextChar"/>
    <w:rsid w:val="009E7A19"/>
    <w:rPr>
      <w:sz w:val="20"/>
      <w:szCs w:val="20"/>
    </w:rPr>
  </w:style>
  <w:style w:type="character" w:customStyle="1" w:styleId="CommentTextChar">
    <w:name w:val="Comment Text Char"/>
    <w:basedOn w:val="DefaultParagraphFont"/>
    <w:link w:val="CommentText"/>
    <w:rsid w:val="009E7A19"/>
    <w:rPr>
      <w:rFonts w:ascii="Arial" w:hAnsi="Arial"/>
      <w:lang w:eastAsia="en-US" w:bidi="ar-DZ"/>
    </w:rPr>
  </w:style>
  <w:style w:type="paragraph" w:styleId="CommentSubject">
    <w:name w:val="annotation subject"/>
    <w:basedOn w:val="CommentText"/>
    <w:next w:val="CommentText"/>
    <w:link w:val="CommentSubjectChar"/>
    <w:rsid w:val="009E7A19"/>
    <w:rPr>
      <w:b/>
      <w:bCs/>
    </w:rPr>
  </w:style>
  <w:style w:type="character" w:customStyle="1" w:styleId="CommentSubjectChar">
    <w:name w:val="Comment Subject Char"/>
    <w:basedOn w:val="CommentTextChar"/>
    <w:link w:val="CommentSubject"/>
    <w:rsid w:val="009E7A19"/>
    <w:rPr>
      <w:rFonts w:ascii="Arial" w:hAnsi="Arial"/>
      <w:b/>
      <w:bCs/>
      <w:lang w:eastAsia="en-US" w:bidi="ar-DZ"/>
    </w:rPr>
  </w:style>
  <w:style w:type="paragraph" w:styleId="BalloonText">
    <w:name w:val="Balloon Text"/>
    <w:basedOn w:val="Normal"/>
    <w:link w:val="BalloonTextChar"/>
    <w:rsid w:val="009E7A19"/>
    <w:rPr>
      <w:rFonts w:ascii="Tahoma" w:hAnsi="Tahoma" w:cs="Tahoma"/>
      <w:sz w:val="16"/>
      <w:szCs w:val="16"/>
    </w:rPr>
  </w:style>
  <w:style w:type="character" w:customStyle="1" w:styleId="BalloonTextChar">
    <w:name w:val="Balloon Text Char"/>
    <w:basedOn w:val="DefaultParagraphFont"/>
    <w:link w:val="BalloonText"/>
    <w:rsid w:val="009E7A19"/>
    <w:rPr>
      <w:rFonts w:ascii="Tahoma" w:hAnsi="Tahoma" w:cs="Tahoma"/>
      <w:sz w:val="16"/>
      <w:szCs w:val="16"/>
      <w:lang w:eastAsia="en-US"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0048">
      <w:bodyDiv w:val="1"/>
      <w:marLeft w:val="0"/>
      <w:marRight w:val="0"/>
      <w:marTop w:val="0"/>
      <w:marBottom w:val="0"/>
      <w:divBdr>
        <w:top w:val="none" w:sz="0" w:space="0" w:color="auto"/>
        <w:left w:val="none" w:sz="0" w:space="0" w:color="auto"/>
        <w:bottom w:val="none" w:sz="0" w:space="0" w:color="auto"/>
        <w:right w:val="none" w:sz="0" w:space="0" w:color="auto"/>
      </w:divBdr>
    </w:div>
    <w:div w:id="209923341">
      <w:bodyDiv w:val="1"/>
      <w:marLeft w:val="0"/>
      <w:marRight w:val="0"/>
      <w:marTop w:val="0"/>
      <w:marBottom w:val="0"/>
      <w:divBdr>
        <w:top w:val="none" w:sz="0" w:space="0" w:color="auto"/>
        <w:left w:val="none" w:sz="0" w:space="0" w:color="auto"/>
        <w:bottom w:val="none" w:sz="0" w:space="0" w:color="auto"/>
        <w:right w:val="none" w:sz="0" w:space="0" w:color="auto"/>
      </w:divBdr>
    </w:div>
    <w:div w:id="1147937985">
      <w:bodyDiv w:val="1"/>
      <w:marLeft w:val="0"/>
      <w:marRight w:val="0"/>
      <w:marTop w:val="0"/>
      <w:marBottom w:val="0"/>
      <w:divBdr>
        <w:top w:val="none" w:sz="0" w:space="0" w:color="auto"/>
        <w:left w:val="none" w:sz="0" w:space="0" w:color="auto"/>
        <w:bottom w:val="none" w:sz="0" w:space="0" w:color="auto"/>
        <w:right w:val="none" w:sz="0" w:space="0" w:color="auto"/>
      </w:divBdr>
    </w:div>
    <w:div w:id="1210536539">
      <w:bodyDiv w:val="1"/>
      <w:marLeft w:val="0"/>
      <w:marRight w:val="0"/>
      <w:marTop w:val="0"/>
      <w:marBottom w:val="0"/>
      <w:divBdr>
        <w:top w:val="none" w:sz="0" w:space="0" w:color="auto"/>
        <w:left w:val="none" w:sz="0" w:space="0" w:color="auto"/>
        <w:bottom w:val="none" w:sz="0" w:space="0" w:color="auto"/>
        <w:right w:val="none" w:sz="0" w:space="0" w:color="auto"/>
      </w:divBdr>
    </w:div>
    <w:div w:id="181849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69</Order1>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3072DC4CCC4B744992C6BE13366ECA0" ma:contentTypeVersion="2" ma:contentTypeDescription="Country Statements" ma:contentTypeScope="" ma:versionID="758f4683077d8109865cb72aa72f166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FCEC-44AE-4690-835A-35BAF47E41C9}"/>
</file>

<file path=customXml/itemProps2.xml><?xml version="1.0" encoding="utf-8"?>
<ds:datastoreItem xmlns:ds="http://schemas.openxmlformats.org/officeDocument/2006/customXml" ds:itemID="{8F673246-8610-4778-9870-E245616ECBBC}"/>
</file>

<file path=customXml/itemProps3.xml><?xml version="1.0" encoding="utf-8"?>
<ds:datastoreItem xmlns:ds="http://schemas.openxmlformats.org/officeDocument/2006/customXml" ds:itemID="{2A4C2A03-AAA5-4513-9245-FF9D96537A9E}"/>
</file>

<file path=customXml/itemProps4.xml><?xml version="1.0" encoding="utf-8"?>
<ds:datastoreItem xmlns:ds="http://schemas.openxmlformats.org/officeDocument/2006/customXml" ds:itemID="{FFE4FCEC-44AE-4690-835A-35BAF47E41C9}">
  <ds:schemaRefs>
    <ds:schemaRef ds:uri="http://schemas.microsoft.com/office/2006/metadata/longProperties"/>
  </ds:schemaRefs>
</ds:datastoreItem>
</file>

<file path=customXml/itemProps5.xml><?xml version="1.0" encoding="utf-8"?>
<ds:datastoreItem xmlns:ds="http://schemas.openxmlformats.org/officeDocument/2006/customXml" ds:itemID="{8F673246-8610-4778-9870-E245616ECBBC}">
  <ds:schemaRefs>
    <ds:schemaRef ds:uri="http://schemas.microsoft.com/sharepoint/v3/contenttype/forms"/>
  </ds:schemaRefs>
</ds:datastoreItem>
</file>

<file path=customXml/itemProps6.xml><?xml version="1.0" encoding="utf-8"?>
<ds:datastoreItem xmlns:ds="http://schemas.openxmlformats.org/officeDocument/2006/customXml" ds:itemID="{99A694F0-F35D-47C3-85FC-0745264F2052}"/>
</file>

<file path=customXml/itemProps7.xml><?xml version="1.0" encoding="utf-8"?>
<ds:datastoreItem xmlns:ds="http://schemas.openxmlformats.org/officeDocument/2006/customXml" ds:itemID="{C75179EF-FA4B-41E0-93E8-1A2FC41BC056}"/>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NZ UPR Statement on Libya 2015</vt:lpstr>
    </vt:vector>
  </TitlesOfParts>
  <Company>Ministry of Foreign Affairs and Trade, New Zealand</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dc:title>
  <dc:creator>jackmas</dc:creator>
  <cp:lastModifiedBy>CLYNE, Jarrod (GVA)</cp:lastModifiedBy>
  <cp:revision>4</cp:revision>
  <cp:lastPrinted>2015-05-04T04:01:00Z</cp:lastPrinted>
  <dcterms:created xsi:type="dcterms:W3CDTF">2015-05-13T11:44:00Z</dcterms:created>
  <dcterms:modified xsi:type="dcterms:W3CDTF">2015-05-13T11:46:00Z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POLI-86-102</vt:lpwstr>
  </property>
  <property fmtid="{D5CDD505-2E9C-101B-9397-08002B2CF9AE}" pid="3" name="_dlc_DocIdItemGuid">
    <vt:lpwstr>9c024491-19c9-4ab2-830a-91d62ab4ee04</vt:lpwstr>
  </property>
  <property fmtid="{D5CDD505-2E9C-101B-9397-08002B2CF9AE}" pid="4" name="_dlc_DocIdUrl">
    <vt:lpwstr>http://o-wln-gdm/Functions/PoliticalRelations/Pacific/Bilateral/_layouts/DocIdRedir.aspx?ID=POLI-86-102, POLI-86-102</vt:lpwstr>
  </property>
  <property fmtid="{D5CDD505-2E9C-101B-9397-08002B2CF9AE}" pid="5" name="display_urn:schemas-microsoft-com:office:office#Editor">
    <vt:lpwstr>JACKMAN, Sally (UNHC)</vt:lpwstr>
  </property>
  <property fmtid="{D5CDD505-2E9C-101B-9397-08002B2CF9AE}" pid="6" name="CountryTaxHTField0">
    <vt:lpwstr>NZL|84f69e4c-fbe9-40c4-a0a6-6dbc7ccd8249</vt:lpwstr>
  </property>
  <property fmtid="{D5CDD505-2E9C-101B-9397-08002B2CF9AE}" pid="7" name="display_urn:schemas-microsoft-com:office:office#Doc_x0020_Author">
    <vt:lpwstr>JACKMAN, Sally (UNHC)</vt:lpwstr>
  </property>
  <property fmtid="{D5CDD505-2E9C-101B-9397-08002B2CF9AE}" pid="8" name="OrganisationTaxHTField0">
    <vt:lpwstr>INTERNAL|b5fe2bc0-6a20-4a45-a83f-b006fc976d8d</vt:lpwstr>
  </property>
  <property fmtid="{D5CDD505-2E9C-101B-9397-08002B2CF9AE}" pid="9" name="Classification">
    <vt:lpwstr>2;#Unclassified|0496e4db-39dc-4e5b-a080-a360da5843e8</vt:lpwstr>
  </property>
  <property fmtid="{D5CDD505-2E9C-101B-9397-08002B2CF9AE}" pid="10" name="Doc TypeTaxHTField0">
    <vt:lpwstr>GENERAL|72b153d4-1840-4b12-815c-5bbb5262cc79</vt:lpwstr>
  </property>
  <property fmtid="{D5CDD505-2E9C-101B-9397-08002B2CF9AE}" pid="11" name="Financial YearTaxHTField0">
    <vt:lpwstr/>
  </property>
  <property fmtid="{D5CDD505-2E9C-101B-9397-08002B2CF9AE}" pid="12" name="Doc Author">
    <vt:lpwstr>749</vt:lpwstr>
  </property>
  <property fmtid="{D5CDD505-2E9C-101B-9397-08002B2CF9AE}" pid="13" name="Organisation">
    <vt:lpwstr>14;#INTERNAL|b5fe2bc0-6a20-4a45-a83f-b006fc976d8d</vt:lpwstr>
  </property>
  <property fmtid="{D5CDD505-2E9C-101B-9397-08002B2CF9AE}" pid="14" name="display_urn:schemas-microsoft-com:office:office#Author">
    <vt:lpwstr>JACKMAN, Sally (UNHC)</vt:lpwstr>
  </property>
  <property fmtid="{D5CDD505-2E9C-101B-9397-08002B2CF9AE}" pid="15" name="Division/PostTaxHTField0">
    <vt:lpwstr>UNHC|3449b04f-3c23-4b17-a7d5-f30195c2c36c</vt:lpwstr>
  </property>
  <property fmtid="{D5CDD505-2E9C-101B-9397-08002B2CF9AE}" pid="16" name="CaveatTaxHTField0">
    <vt:lpwstr/>
  </property>
  <property fmtid="{D5CDD505-2E9C-101B-9397-08002B2CF9AE}" pid="17" name="ClassificationTaxHTField0">
    <vt:lpwstr>Unclassified|0496e4db-39dc-4e5b-a080-a360da5843e8</vt:lpwstr>
  </property>
  <property fmtid="{D5CDD505-2E9C-101B-9397-08002B2CF9AE}" pid="18" name="Division/Post">
    <vt:lpwstr>551;#UNHC|3449b04f-3c23-4b17-a7d5-f30195c2c36c</vt:lpwstr>
  </property>
  <property fmtid="{D5CDD505-2E9C-101B-9397-08002B2CF9AE}" pid="19" name="Country">
    <vt:lpwstr/>
  </property>
  <property fmtid="{D5CDD505-2E9C-101B-9397-08002B2CF9AE}" pid="20" name="Doc Type">
    <vt:lpwstr>11;#GENERAL|72b153d4-1840-4b12-815c-5bbb5262cc79</vt:lpwstr>
  </property>
  <property fmtid="{D5CDD505-2E9C-101B-9397-08002B2CF9AE}" pid="21" name="Other Units">
    <vt:lpwstr/>
  </property>
  <property fmtid="{D5CDD505-2E9C-101B-9397-08002B2CF9AE}" pid="22" name="Other UnitsTaxHTField0">
    <vt:lpwstr/>
  </property>
  <property fmtid="{D5CDD505-2E9C-101B-9397-08002B2CF9AE}" pid="23" name="Doc Ref">
    <vt:lpwstr/>
  </property>
  <property fmtid="{D5CDD505-2E9C-101B-9397-08002B2CF9AE}" pid="24" name="File Number">
    <vt:lpwstr/>
  </property>
  <property fmtid="{D5CDD505-2E9C-101B-9397-08002B2CF9AE}" pid="25" name="Doc Comments">
    <vt:lpwstr/>
  </property>
  <property fmtid="{D5CDD505-2E9C-101B-9397-08002B2CF9AE}" pid="26" name="_dlc_ExpireDate">
    <vt:lpwstr>2016-11-04T13:15:28Z</vt:lpwstr>
  </property>
  <property fmtid="{D5CDD505-2E9C-101B-9397-08002B2CF9AE}" pid="27"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28" name="_dlc_policyId">
    <vt:lpwstr>0x01010077AA9D1CFFA240DC80DAD99CA5F5CD00|-1462717567</vt:lpwstr>
  </property>
  <property fmtid="{D5CDD505-2E9C-101B-9397-08002B2CF9AE}" pid="29" name="CoveringClassification">
    <vt:lpwstr/>
  </property>
  <property fmtid="{D5CDD505-2E9C-101B-9397-08002B2CF9AE}" pid="30" name="Topic">
    <vt:lpwstr/>
  </property>
  <property fmtid="{D5CDD505-2E9C-101B-9397-08002B2CF9AE}" pid="31" name="SecurityClassification">
    <vt:lpwstr>226;#UNCLASSIFIED|738a72fd-0042-476f-991b-551c05ade48c</vt:lpwstr>
  </property>
  <property fmtid="{D5CDD505-2E9C-101B-9397-08002B2CF9AE}" pid="32" name="SecurityCaveat">
    <vt:lpwstr/>
  </property>
  <property fmtid="{D5CDD505-2E9C-101B-9397-08002B2CF9AE}" pid="33" name="WorkflowChangePath">
    <vt:lpwstr>0fce5d0d-4b17-4b29-8478-3ed1a249a3a2,4;</vt:lpwstr>
  </property>
  <property fmtid="{D5CDD505-2E9C-101B-9397-08002B2CF9AE}" pid="34" name="ContentTypeId">
    <vt:lpwstr>0x010100CA92D31222379248846EF4F1EBFB5EDE0003072DC4CCC4B744992C6BE13366ECA0</vt:lpwstr>
  </property>
  <property fmtid="{D5CDD505-2E9C-101B-9397-08002B2CF9AE}" pid="35" name="Order">
    <vt:r8>89600</vt:r8>
  </property>
</Properties>
</file>